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ROSAC0011ZPB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i w:val="1"/>
          <w:iCs w:val="1"/>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Braniștea Catârilor</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sdt>
        <w:sdtPr>
          <w:id w:val="-129543722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67713077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sdt>
        <w:sdtPr>
          <w:id w:val="-42726475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jc w:val="cente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171,37</w:t>
      </w:r>
      <w:r w:rsidDel="00000000" w:rsidR="00000000" w:rsidRPr="00000000">
        <w:rPr>
          <w:rtl w:val="0"/>
        </w:rPr>
      </w:r>
    </w:p>
    <w:p w:rsidR="00000000" w:rsidDel="00000000" w:rsidP="00000000" w:rsidRDefault="00000000" w:rsidRPr="00000000" w14:paraId="00000049">
      <w:pPr>
        <w:rPr>
          <w:b w:val="1"/>
          <w:bCs w:val="1"/>
          <w:sz w:val="22"/>
          <w:szCs w:val="22"/>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55,08%</w:t>
      </w:r>
      <w:r w:rsidDel="00000000" w:rsidR="00000000" w:rsidRPr="00000000">
        <w:rPr>
          <w:rtl w:val="0"/>
        </w:rPr>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2">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4">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Olt</w:t>
      </w:r>
      <w:r w:rsidDel="00000000" w:rsidR="00000000" w:rsidRPr="00000000">
        <w:rPr>
          <w:rtl w:val="0"/>
        </w:rPr>
      </w:r>
    </w:p>
    <w:p w:rsidR="00000000" w:rsidDel="00000000" w:rsidP="00000000" w:rsidRDefault="00000000" w:rsidRPr="00000000" w14:paraId="00000056">
      <w:pPr>
        <w:rPr>
          <w:b w:val="1"/>
          <w:bCs w:val="1"/>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8">
            <w:pPr>
              <w:rPr>
                <w:sz w:val="22"/>
                <w:szCs w:val="22"/>
              </w:rPr>
            </w:pPr>
            <w:sdt>
              <w:sdtPr>
                <w:id w:val="46755555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59">
            <w:pPr>
              <w:rPr>
                <w:sz w:val="22"/>
                <w:szCs w:val="22"/>
              </w:rPr>
            </w:pPr>
            <w:r w:rsidDel="00000000" w:rsidR="00000000" w:rsidRPr="00000000">
              <w:rPr>
                <w:rtl w:val="0"/>
              </w:rPr>
            </w:r>
          </w:p>
        </w:tc>
        <w:tc>
          <w:tcPr/>
          <w:p w:rsidR="00000000" w:rsidDel="00000000" w:rsidP="00000000" w:rsidRDefault="00000000" w:rsidRPr="00000000" w14:paraId="0000005A">
            <w:pPr>
              <w:rPr>
                <w:sz w:val="22"/>
                <w:szCs w:val="22"/>
              </w:rPr>
            </w:pPr>
            <w:sdt>
              <w:sdtPr>
                <w:id w:val="-143546919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28080750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D">
            <w:pPr>
              <w:rPr>
                <w:sz w:val="22"/>
                <w:szCs w:val="22"/>
              </w:rPr>
            </w:pPr>
            <w:sdt>
              <w:sdtPr>
                <w:id w:val="188161714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sdt>
              <w:sdtPr>
                <w:id w:val="128394868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60">
            <w:pPr>
              <w:rPr>
                <w:sz w:val="22"/>
                <w:szCs w:val="22"/>
              </w:rPr>
            </w:pPr>
            <w:r w:rsidDel="00000000" w:rsidR="00000000" w:rsidRPr="00000000">
              <w:rPr>
                <w:rtl w:val="0"/>
              </w:rPr>
            </w:r>
          </w:p>
        </w:tc>
        <w:tc>
          <w:tcPr/>
          <w:p w:rsidR="00000000" w:rsidDel="00000000" w:rsidP="00000000" w:rsidRDefault="00000000" w:rsidRPr="00000000" w14:paraId="00000061">
            <w:pPr>
              <w:rPr>
                <w:sz w:val="22"/>
                <w:szCs w:val="22"/>
              </w:rPr>
            </w:pPr>
            <w:sdt>
              <w:sdtPr>
                <w:id w:val="167601107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62">
      <w:pPr>
        <w:spacing w:after="0" w:lineRule="auto"/>
        <w:rPr/>
      </w:pPr>
      <w:r w:rsidDel="00000000" w:rsidR="00000000" w:rsidRPr="00000000">
        <w:rPr>
          <w:rtl w:val="0"/>
        </w:rPr>
      </w:r>
    </w:p>
    <w:p w:rsidR="00000000" w:rsidDel="00000000" w:rsidP="00000000" w:rsidRDefault="00000000" w:rsidRPr="00000000" w14:paraId="00000063">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4">
      <w:pPr>
        <w:jc w:val="cente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171,37</w:t>
      </w:r>
      <w:r w:rsidDel="00000000" w:rsidR="00000000" w:rsidRPr="00000000">
        <w:rPr>
          <w:rtl w:val="0"/>
        </w:rPr>
      </w:r>
    </w:p>
    <w:p w:rsidR="00000000" w:rsidDel="00000000" w:rsidP="00000000" w:rsidRDefault="00000000" w:rsidRPr="00000000" w14:paraId="0000006F">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Legea nr. 5/2000 (actualizată) privind aprobarea Planului de amenajare a teritoriului național - Secțiunea a III-a - zone protejate, cu modificările și completările ulterioare: RONPA0682 Pădurea Braniștea Catârilor;</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Ordinul ministrului mediului, apelor și pădurilor nr. 1013/2016 privind aprobarea Planului de management al sitului Natura 2000 ROSCI0011 Pădurea Braniștea Catârilor;</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pBdr>
        <w:spacing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4">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9">
            <w:pPr>
              <w:spacing w:after="0" w:lineRule="auto"/>
              <w:jc w:val="both"/>
              <w:rPr>
                <w:sz w:val="22"/>
                <w:szCs w:val="22"/>
              </w:rPr>
            </w:pPr>
            <w:r w:rsidDel="00000000" w:rsidR="00000000" w:rsidRPr="00000000">
              <w:rPr>
                <w:i w:val="1"/>
                <w:iCs w:val="1"/>
                <w:sz w:val="22"/>
                <w:szCs w:val="22"/>
                <w:rtl w:val="0"/>
              </w:rPr>
              <w:t xml:space="preserve">91I0* Păduri stepice euro-siberiene de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i w:val="1"/>
                <w:iCs w:val="1"/>
                <w:sz w:val="22"/>
                <w:szCs w:val="22"/>
              </w:rPr>
            </w:pPr>
            <w:r w:rsidDel="00000000" w:rsidR="00000000" w:rsidRPr="00000000">
              <w:rPr>
                <w:b w:val="1"/>
                <w:bCs w:val="1"/>
                <w:sz w:val="22"/>
                <w:szCs w:val="22"/>
                <w:rtl w:val="0"/>
              </w:rPr>
              <w:t xml:space="preserve">Nevertebrate:</w:t>
            </w:r>
            <w:r w:rsidDel="00000000" w:rsidR="00000000" w:rsidRPr="00000000">
              <w:rPr>
                <w:sz w:val="22"/>
                <w:szCs w:val="22"/>
                <w:rtl w:val="0"/>
              </w:rPr>
              <w:t xml:space="preserve">                                                                </w:t>
            </w:r>
            <w:r w:rsidDel="00000000" w:rsidR="00000000" w:rsidRPr="00000000">
              <w:rPr>
                <w:i w:val="1"/>
                <w:iCs w:val="1"/>
                <w:sz w:val="22"/>
                <w:szCs w:val="22"/>
                <w:rtl w:val="0"/>
              </w:rPr>
              <w:t xml:space="preserve">1088 Cerambyx cerdo</w:t>
            </w:r>
          </w:p>
          <w:p w:rsidR="00000000" w:rsidDel="00000000" w:rsidP="00000000" w:rsidRDefault="00000000" w:rsidRPr="00000000" w14:paraId="0000007C">
            <w:pPr>
              <w:tabs>
                <w:tab w:val="left" w:leader="none" w:pos="2535"/>
              </w:tabs>
              <w:spacing w:after="0" w:lineRule="auto"/>
              <w:rPr>
                <w:b w:val="1"/>
                <w:bCs w:val="1"/>
                <w:color w:val="ee0000"/>
                <w:sz w:val="22"/>
                <w:szCs w:val="22"/>
              </w:rPr>
            </w:pPr>
            <w:r w:rsidDel="00000000" w:rsidR="00000000" w:rsidRPr="00000000">
              <w:rPr>
                <w:i w:val="1"/>
                <w:iCs w:val="1"/>
                <w:sz w:val="22"/>
                <w:szCs w:val="22"/>
                <w:rtl w:val="0"/>
              </w:rPr>
              <w:t xml:space="preserve">1083 Lucanus cervus</w:t>
              <w:tab/>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Zona care cuprinde habitate de păduri temperate europene prioritare, precum și specii de nevertebrate de interes comunitar.</w:t>
            </w:r>
          </w:p>
          <w:p w:rsidR="00000000" w:rsidDel="00000000" w:rsidP="00000000" w:rsidRDefault="00000000" w:rsidRPr="00000000" w14:paraId="0000007F">
            <w:pPr>
              <w:spacing w:after="0" w:lineRule="auto"/>
              <w:jc w:val="both"/>
              <w:rPr>
                <w:sz w:val="22"/>
                <w:szCs w:val="22"/>
              </w:rPr>
            </w:pPr>
            <w:r w:rsidDel="00000000" w:rsidR="00000000" w:rsidRPr="00000000">
              <w:rPr>
                <w:sz w:val="22"/>
                <w:szCs w:val="22"/>
                <w:rtl w:val="0"/>
              </w:rPr>
              <w:t xml:space="preserve">Vegetaţia forestieră este dominată de stejarul brumăriu (</w:t>
            </w:r>
            <w:r w:rsidDel="00000000" w:rsidR="00000000" w:rsidRPr="00000000">
              <w:rPr>
                <w:i w:val="1"/>
                <w:iCs w:val="1"/>
                <w:sz w:val="22"/>
                <w:szCs w:val="22"/>
                <w:rtl w:val="0"/>
              </w:rPr>
              <w:t xml:space="preserve">Quercus pedunculiflora</w:t>
            </w:r>
            <w:r w:rsidDel="00000000" w:rsidR="00000000" w:rsidRPr="00000000">
              <w:rPr>
                <w:sz w:val="22"/>
                <w:szCs w:val="22"/>
                <w:rtl w:val="0"/>
              </w:rPr>
              <w:t xml:space="preserve">) cu vârsta cuprinsa intre 150 - 190 ani. În asociaţie cu stejarul brumăriu se întâlnesc: frasinul (</w:t>
            </w:r>
            <w:r w:rsidDel="00000000" w:rsidR="00000000" w:rsidRPr="00000000">
              <w:rPr>
                <w:i w:val="1"/>
                <w:iCs w:val="1"/>
                <w:sz w:val="22"/>
                <w:szCs w:val="22"/>
                <w:rtl w:val="0"/>
              </w:rPr>
              <w:t xml:space="preserve">Fraxinus excelsior</w:t>
            </w:r>
            <w:r w:rsidDel="00000000" w:rsidR="00000000" w:rsidRPr="00000000">
              <w:rPr>
                <w:sz w:val="22"/>
                <w:szCs w:val="22"/>
                <w:rtl w:val="0"/>
              </w:rPr>
              <w:t xml:space="preserve">), paltinul de câmp (</w:t>
            </w:r>
            <w:r w:rsidDel="00000000" w:rsidR="00000000" w:rsidRPr="00000000">
              <w:rPr>
                <w:i w:val="1"/>
                <w:iCs w:val="1"/>
                <w:sz w:val="22"/>
                <w:szCs w:val="22"/>
                <w:rtl w:val="0"/>
              </w:rPr>
              <w:t xml:space="preserve">Acer platanoides</w:t>
            </w:r>
            <w:r w:rsidDel="00000000" w:rsidR="00000000" w:rsidRPr="00000000">
              <w:rPr>
                <w:sz w:val="22"/>
                <w:szCs w:val="22"/>
                <w:rtl w:val="0"/>
              </w:rPr>
              <w:t xml:space="preserve">), teiul pucios (</w:t>
            </w:r>
            <w:r w:rsidDel="00000000" w:rsidR="00000000" w:rsidRPr="00000000">
              <w:rPr>
                <w:i w:val="1"/>
                <w:iCs w:val="1"/>
                <w:sz w:val="22"/>
                <w:szCs w:val="22"/>
                <w:rtl w:val="0"/>
              </w:rPr>
              <w:t xml:space="preserve">Tilia cordata</w:t>
            </w:r>
            <w:r w:rsidDel="00000000" w:rsidR="00000000" w:rsidRPr="00000000">
              <w:rPr>
                <w:sz w:val="22"/>
                <w:szCs w:val="22"/>
                <w:rtl w:val="0"/>
              </w:rPr>
              <w:t xml:space="preserve">), nucul (</w:t>
            </w:r>
            <w:r w:rsidDel="00000000" w:rsidR="00000000" w:rsidRPr="00000000">
              <w:rPr>
                <w:i w:val="1"/>
                <w:iCs w:val="1"/>
                <w:sz w:val="22"/>
                <w:szCs w:val="22"/>
                <w:rtl w:val="0"/>
              </w:rPr>
              <w:t xml:space="preserve">Juglans reggia</w:t>
            </w:r>
            <w:r w:rsidDel="00000000" w:rsidR="00000000" w:rsidRPr="00000000">
              <w:rPr>
                <w:sz w:val="22"/>
                <w:szCs w:val="22"/>
                <w:rtl w:val="0"/>
              </w:rPr>
              <w:t xml:space="preserve">), păducelul (</w:t>
            </w:r>
            <w:r w:rsidDel="00000000" w:rsidR="00000000" w:rsidRPr="00000000">
              <w:rPr>
                <w:i w:val="1"/>
                <w:iCs w:val="1"/>
                <w:sz w:val="22"/>
                <w:szCs w:val="22"/>
                <w:rtl w:val="0"/>
              </w:rPr>
              <w:t xml:space="preserve">Crataegus monogyna</w:t>
            </w:r>
            <w:r w:rsidDel="00000000" w:rsidR="00000000" w:rsidRPr="00000000">
              <w:rPr>
                <w:sz w:val="22"/>
                <w:szCs w:val="22"/>
                <w:rtl w:val="0"/>
              </w:rPr>
              <w:t xml:space="preserve">), porumbarul (</w:t>
            </w:r>
            <w:r w:rsidDel="00000000" w:rsidR="00000000" w:rsidRPr="00000000">
              <w:rPr>
                <w:i w:val="1"/>
                <w:iCs w:val="1"/>
                <w:sz w:val="22"/>
                <w:szCs w:val="22"/>
                <w:rtl w:val="0"/>
              </w:rPr>
              <w:t xml:space="preserve">Prunus spinosa</w:t>
            </w:r>
            <w:r w:rsidDel="00000000" w:rsidR="00000000" w:rsidRPr="00000000">
              <w:rPr>
                <w:sz w:val="22"/>
                <w:szCs w:val="22"/>
                <w:rtl w:val="0"/>
              </w:rPr>
              <w:t xml:space="preserve">), măceşul (</w:t>
            </w:r>
            <w:r w:rsidDel="00000000" w:rsidR="00000000" w:rsidRPr="00000000">
              <w:rPr>
                <w:i w:val="1"/>
                <w:iCs w:val="1"/>
                <w:sz w:val="22"/>
                <w:szCs w:val="22"/>
                <w:rtl w:val="0"/>
              </w:rPr>
              <w:t xml:space="preserve">Rosa canina</w:t>
            </w:r>
            <w:r w:rsidDel="00000000" w:rsidR="00000000" w:rsidRPr="00000000">
              <w:rPr>
                <w:sz w:val="22"/>
                <w:szCs w:val="22"/>
                <w:rtl w:val="0"/>
              </w:rPr>
              <w:t xml:space="preserve">).</w:t>
            </w:r>
          </w:p>
          <w:p w:rsidR="00000000" w:rsidDel="00000000" w:rsidP="00000000" w:rsidRDefault="00000000" w:rsidRPr="00000000" w14:paraId="00000080">
            <w:pPr>
              <w:spacing w:after="0" w:lineRule="auto"/>
              <w:jc w:val="both"/>
              <w:rPr>
                <w:color w:val="ee0000"/>
              </w:rPr>
            </w:pPr>
            <w:r w:rsidDel="00000000" w:rsidR="00000000" w:rsidRPr="00000000">
              <w:rPr>
                <w:sz w:val="22"/>
                <w:szCs w:val="22"/>
                <w:rtl w:val="0"/>
              </w:rPr>
              <w:t xml:space="preserve">Dintre speciile de nevertebrate, amintim două de interes comunitar: </w:t>
            </w:r>
            <w:r w:rsidDel="00000000" w:rsidR="00000000" w:rsidRPr="00000000">
              <w:rPr>
                <w:i w:val="1"/>
                <w:iCs w:val="1"/>
                <w:sz w:val="22"/>
                <w:szCs w:val="22"/>
                <w:rtl w:val="0"/>
              </w:rPr>
              <w:t xml:space="preserve">Cerambyx cerdo </w:t>
            </w:r>
            <w:r w:rsidDel="00000000" w:rsidR="00000000" w:rsidRPr="00000000">
              <w:rPr>
                <w:sz w:val="22"/>
                <w:szCs w:val="22"/>
                <w:rtl w:val="0"/>
              </w:rPr>
              <w:t xml:space="preserve">și</w:t>
            </w:r>
            <w:r w:rsidDel="00000000" w:rsidR="00000000" w:rsidRPr="00000000">
              <w:rPr>
                <w:i w:val="1"/>
                <w:iCs w:val="1"/>
                <w:sz w:val="22"/>
                <w:szCs w:val="22"/>
                <w:rtl w:val="0"/>
              </w:rPr>
              <w:t xml:space="preserve"> Lucanus cervus</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Pădurile contribuie la stocarea carbonului și la reglarea climatului local.</w:t>
            </w:r>
          </w:p>
          <w:p w:rsidR="00000000" w:rsidDel="00000000" w:rsidP="00000000" w:rsidRDefault="00000000" w:rsidRPr="00000000" w14:paraId="00000082">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B04 Folosirea biocidelor, hormonilor şi chimicalelor în pădure</w:t>
            </w:r>
          </w:p>
          <w:p w:rsidR="00000000" w:rsidDel="00000000" w:rsidP="00000000" w:rsidRDefault="00000000" w:rsidRPr="00000000" w14:paraId="00000086">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color w:val="ee0000"/>
                <w:sz w:val="22"/>
                <w:szCs w:val="22"/>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hn4ec9brdgqx" w:id="0"/>
      <w:bookmarkEnd w:id="0"/>
      <w:r w:rsidDel="00000000" w:rsidR="00000000" w:rsidRPr="00000000">
        <w:rPr>
          <w:color w:val="000000"/>
          <w:sz w:val="22"/>
          <w:szCs w:val="22"/>
          <w:rtl w:val="0"/>
        </w:rPr>
        <w:t xml:space="preserve">Consultări publice au fost realizate la: 14 octombrie 2024 – Slatina, 25 aprilie 2025 – DS Olt.</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cu participarea factorilor interesați relevanți din județul Olt. </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4">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bojnQr6VsxEiPqUSbcdN6/4DM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G40ZWM5YnJkZ3F4OAByITFMVmtUaklVSUZyY0g4VFEyazRaOWFIaEF0SjBLU0t0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